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D85" w:rsidRPr="005B3D85" w:rsidRDefault="005B3D85" w:rsidP="005B3D85">
      <w:pPr>
        <w:tabs>
          <w:tab w:val="left" w:pos="567"/>
        </w:tabs>
        <w:rPr>
          <w:b/>
          <w:sz w:val="24"/>
          <w:szCs w:val="24"/>
        </w:rPr>
      </w:pPr>
      <w:r w:rsidRPr="005B3D85">
        <w:rPr>
          <w:b/>
          <w:sz w:val="24"/>
          <w:szCs w:val="24"/>
        </w:rPr>
        <w:t>3GPP TSG RAN WG1 #97</w:t>
      </w:r>
      <w:r w:rsidRPr="005B3D85">
        <w:rPr>
          <w:b/>
          <w:sz w:val="24"/>
          <w:szCs w:val="24"/>
        </w:rPr>
        <w:tab/>
      </w:r>
      <w:r w:rsidRPr="005B3D85">
        <w:rPr>
          <w:b/>
          <w:sz w:val="24"/>
          <w:szCs w:val="24"/>
        </w:rPr>
        <w:tab/>
      </w:r>
      <w:r w:rsidRPr="005B3D85">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5B3D85">
        <w:rPr>
          <w:b/>
          <w:sz w:val="24"/>
          <w:szCs w:val="24"/>
        </w:rPr>
        <w:t>R1-19</w:t>
      </w:r>
      <w:r w:rsidR="001E7CB5">
        <w:rPr>
          <w:b/>
          <w:sz w:val="24"/>
          <w:szCs w:val="24"/>
        </w:rPr>
        <w:t>07154</w:t>
      </w:r>
      <w:bookmarkStart w:id="0" w:name="_GoBack"/>
      <w:bookmarkEnd w:id="0"/>
    </w:p>
    <w:p w:rsidR="008B5A99" w:rsidRDefault="005B3D85" w:rsidP="005B3D85">
      <w:pPr>
        <w:tabs>
          <w:tab w:val="left" w:pos="567"/>
        </w:tabs>
        <w:rPr>
          <w:b/>
          <w:sz w:val="24"/>
          <w:szCs w:val="24"/>
        </w:rPr>
      </w:pPr>
      <w:r w:rsidRPr="005B3D85">
        <w:rPr>
          <w:b/>
          <w:sz w:val="24"/>
          <w:szCs w:val="24"/>
        </w:rPr>
        <w:t>Reno, USA, May 13th – 17th, 2019</w:t>
      </w: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1F02DD">
        <w:rPr>
          <w:b/>
          <w:sz w:val="24"/>
          <w:szCs w:val="24"/>
        </w:rPr>
        <w:t>2.3</w:t>
      </w:r>
      <w:r w:rsidR="00F75F2B">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F75F2B" w:rsidRDefault="0060603E" w:rsidP="004F31E9">
      <w:pPr>
        <w:ind w:left="1800" w:hanging="1800"/>
        <w:rPr>
          <w:b/>
          <w:sz w:val="24"/>
          <w:szCs w:val="24"/>
        </w:rPr>
      </w:pPr>
      <w:r w:rsidRPr="00212204">
        <w:rPr>
          <w:b/>
          <w:sz w:val="24"/>
          <w:szCs w:val="24"/>
        </w:rPr>
        <w:t>Title:</w:t>
      </w:r>
      <w:r w:rsidR="002D479B" w:rsidRPr="00212204">
        <w:rPr>
          <w:sz w:val="24"/>
          <w:szCs w:val="24"/>
        </w:rPr>
        <w:tab/>
      </w:r>
      <w:r w:rsidR="004F31E9" w:rsidRPr="00D37270">
        <w:rPr>
          <w:b/>
          <w:sz w:val="24"/>
          <w:szCs w:val="24"/>
        </w:rPr>
        <w:t>Enhancements to support inter-IAB node discovery and measurements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707D20" w:rsidRPr="00172743" w:rsidRDefault="00424124" w:rsidP="00326FF6">
      <w:pPr>
        <w:pStyle w:val="Heading1"/>
      </w:pPr>
      <w:r w:rsidRPr="00172743">
        <w:t>Introduction</w:t>
      </w:r>
    </w:p>
    <w:p w:rsidR="004F31E9" w:rsidRDefault="004F31E9" w:rsidP="004F31E9">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4F31E9" w:rsidRDefault="004F31E9" w:rsidP="004F31E9">
      <w:pPr>
        <w:pStyle w:val="ListParagraph"/>
        <w:numPr>
          <w:ilvl w:val="0"/>
          <w:numId w:val="19"/>
        </w:numPr>
        <w:spacing w:beforeLines="60" w:before="144" w:afterLines="60" w:after="144" w:line="256" w:lineRule="auto"/>
        <w:contextualSpacing w:val="0"/>
        <w:jc w:val="left"/>
        <w:rPr>
          <w:rFonts w:asciiTheme="minorHAnsi" w:hAnsiTheme="minorHAns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4F31E9" w:rsidRPr="00C724F1" w:rsidRDefault="004F31E9" w:rsidP="004F31E9">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use of SSBs for inter-IAB node discovery and measurements</w:t>
      </w:r>
      <w:r w:rsidRPr="00C724F1">
        <w:rPr>
          <w:rFonts w:ascii="Calibri" w:hAnsi="Calibri"/>
        </w:rPr>
        <w:t>.</w:t>
      </w:r>
    </w:p>
    <w:p w:rsidR="004F31E9" w:rsidRPr="00172743" w:rsidRDefault="004F31E9" w:rsidP="004F31E9">
      <w:pPr>
        <w:pStyle w:val="Heading1"/>
      </w:pPr>
      <w:r>
        <w:t>IAB node discovery and measurement</w:t>
      </w:r>
    </w:p>
    <w:p w:rsidR="003F1857" w:rsidRPr="003F1857" w:rsidRDefault="003F1857" w:rsidP="003F1857">
      <w:pPr>
        <w:keepLines/>
        <w:overflowPunct w:val="0"/>
        <w:autoSpaceDE w:val="0"/>
        <w:autoSpaceDN w:val="0"/>
        <w:adjustRightInd w:val="0"/>
        <w:spacing w:before="0" w:after="180"/>
        <w:jc w:val="left"/>
        <w:textAlignment w:val="baseline"/>
        <w:rPr>
          <w:rFonts w:ascii="Calibri" w:eastAsia="Malgun Gothic" w:hAnsi="Calibri" w:cs="Batang"/>
          <w:lang w:val="en-GB" w:eastAsia="ko-KR"/>
        </w:rPr>
      </w:pPr>
      <w:r w:rsidRPr="003F1857">
        <w:rPr>
          <w:rFonts w:ascii="Calibri" w:eastAsia="Malgun Gothic" w:hAnsi="Calibri" w:cs="Batang"/>
          <w:lang w:val="en-GB" w:eastAsia="ko-KR"/>
        </w:rPr>
        <w:t>During RAN1</w:t>
      </w:r>
      <w:r w:rsidR="004F31E9">
        <w:rPr>
          <w:rFonts w:ascii="Calibri" w:eastAsia="Malgun Gothic" w:hAnsi="Calibri" w:cs="Batang"/>
          <w:lang w:val="en-GB" w:eastAsia="ko-KR"/>
        </w:rPr>
        <w:t xml:space="preserve">#96bis </w:t>
      </w:r>
      <w:r w:rsidRPr="003F1857">
        <w:rPr>
          <w:rFonts w:ascii="Calibri" w:eastAsia="Malgun Gothic" w:hAnsi="Calibri" w:cs="Batang"/>
          <w:lang w:val="en-GB" w:eastAsia="ko-KR"/>
        </w:rPr>
        <w:t>the following agreements were made</w:t>
      </w:r>
      <w:r>
        <w:rPr>
          <w:rFonts w:ascii="Calibri" w:eastAsia="Malgun Gothic" w:hAnsi="Calibri" w:cs="Batang"/>
          <w:lang w:val="en-GB" w:eastAsia="ko-KR"/>
        </w:rPr>
        <w:t>:</w:t>
      </w:r>
    </w:p>
    <w:p w:rsidR="00334624" w:rsidRPr="00D415D0" w:rsidRDefault="00334624" w:rsidP="00334624">
      <w:pPr>
        <w:rPr>
          <w:b/>
          <w:highlight w:val="green"/>
          <w:lang w:eastAsia="x-none"/>
        </w:rPr>
      </w:pPr>
      <w:r w:rsidRPr="00D415D0">
        <w:rPr>
          <w:highlight w:val="green"/>
          <w:lang w:eastAsia="x-none"/>
        </w:rPr>
        <w:t>Agreements</w:t>
      </w:r>
      <w:r w:rsidRPr="00D415D0">
        <w:rPr>
          <w:b/>
          <w:highlight w:val="green"/>
          <w:lang w:eastAsia="x-none"/>
        </w:rPr>
        <w:t>:</w:t>
      </w:r>
    </w:p>
    <w:p w:rsidR="00334624" w:rsidRDefault="00334624" w:rsidP="002F2317">
      <w:pPr>
        <w:numPr>
          <w:ilvl w:val="0"/>
          <w:numId w:val="22"/>
        </w:numPr>
        <w:spacing w:before="0" w:after="0"/>
        <w:jc w:val="left"/>
        <w:rPr>
          <w:lang w:eastAsia="x-none"/>
        </w:rPr>
      </w:pPr>
      <w:r w:rsidRPr="00D415D0">
        <w:rPr>
          <w:lang w:eastAsia="zh-CN"/>
        </w:rPr>
        <w:t>The Rel-15 SSB mapping pattern within a half frame is reused for IAB node discovery and measurements</w:t>
      </w:r>
    </w:p>
    <w:p w:rsidR="00E6484F" w:rsidRDefault="00E6484F" w:rsidP="00E6484F">
      <w:pPr>
        <w:spacing w:before="0" w:after="0"/>
        <w:ind w:left="720"/>
        <w:jc w:val="left"/>
        <w:rPr>
          <w:lang w:eastAsia="x-none"/>
        </w:rPr>
      </w:pPr>
    </w:p>
    <w:p w:rsidR="00334624" w:rsidRDefault="00334624" w:rsidP="00334624">
      <w:pPr>
        <w:rPr>
          <w:lang w:eastAsia="x-none"/>
        </w:rPr>
      </w:pPr>
      <w:r w:rsidRPr="00854644">
        <w:rPr>
          <w:highlight w:val="green"/>
          <w:lang w:eastAsia="x-none"/>
        </w:rPr>
        <w:t>Agreements</w:t>
      </w:r>
      <w:r>
        <w:rPr>
          <w:lang w:eastAsia="x-none"/>
        </w:rPr>
        <w:t>:</w:t>
      </w:r>
    </w:p>
    <w:p w:rsidR="00334624" w:rsidRPr="00854644" w:rsidRDefault="00334624" w:rsidP="00334624">
      <w:pPr>
        <w:rPr>
          <w:lang w:eastAsia="zh-CN"/>
        </w:rPr>
      </w:pPr>
      <w:r w:rsidRPr="00854644">
        <w:rPr>
          <w:lang w:eastAsia="zh-CN"/>
        </w:rPr>
        <w:t>For IAB node discovery and measurements, at least the following information should be provided in STC</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SSB center frequency</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SSB subcarrier spacing</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SSB transmission periodicity</w:t>
      </w:r>
    </w:p>
    <w:p w:rsidR="00334624" w:rsidRPr="00854644" w:rsidRDefault="00334624" w:rsidP="00334624">
      <w:pPr>
        <w:pStyle w:val="ListParagraph"/>
        <w:numPr>
          <w:ilvl w:val="1"/>
          <w:numId w:val="23"/>
        </w:numPr>
        <w:autoSpaceDE w:val="0"/>
        <w:autoSpaceDN w:val="0"/>
        <w:adjustRightInd w:val="0"/>
        <w:snapToGrid w:val="0"/>
        <w:spacing w:before="0"/>
        <w:contextualSpacing w:val="0"/>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SSB transmission timing offset in half frame(s)</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 xml:space="preserve">The index of SSBs to transmit </w:t>
      </w:r>
    </w:p>
    <w:p w:rsidR="00334624" w:rsidRPr="00854644" w:rsidRDefault="00334624" w:rsidP="00334624">
      <w:pPr>
        <w:pStyle w:val="ListParagraph"/>
        <w:numPr>
          <w:ilvl w:val="1"/>
          <w:numId w:val="23"/>
        </w:numPr>
        <w:autoSpaceDE w:val="0"/>
        <w:autoSpaceDN w:val="0"/>
        <w:adjustRightInd w:val="0"/>
        <w:snapToGrid w:val="0"/>
        <w:spacing w:before="0"/>
        <w:contextualSpacing w:val="0"/>
        <w:rPr>
          <w:lang w:eastAsia="zh-CN"/>
        </w:rPr>
      </w:pPr>
      <w:r w:rsidRPr="00854644">
        <w:rPr>
          <w:lang w:eastAsia="zh-CN"/>
        </w:rPr>
        <w:t>The SSBs to be transmitted in the half frame</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FFS configuration information other than above</w:t>
      </w:r>
    </w:p>
    <w:p w:rsidR="00334624" w:rsidRPr="0085464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rsidR="00334624" w:rsidRDefault="00334624" w:rsidP="00334624">
      <w:pPr>
        <w:pStyle w:val="ListParagraph"/>
        <w:numPr>
          <w:ilvl w:val="0"/>
          <w:numId w:val="23"/>
        </w:numPr>
        <w:autoSpaceDE w:val="0"/>
        <w:autoSpaceDN w:val="0"/>
        <w:adjustRightInd w:val="0"/>
        <w:snapToGrid w:val="0"/>
        <w:spacing w:before="0"/>
        <w:contextualSpacing w:val="0"/>
        <w:rPr>
          <w:lang w:eastAsia="zh-CN"/>
        </w:rPr>
      </w:pPr>
      <w:r w:rsidRPr="00854644">
        <w:rPr>
          <w:lang w:eastAsia="zh-CN"/>
        </w:rPr>
        <w:t>Note: The detailed signaling design is up to RAN3.</w:t>
      </w:r>
    </w:p>
    <w:p w:rsidR="00E6484F" w:rsidRPr="00854644" w:rsidRDefault="00E6484F" w:rsidP="00E6484F">
      <w:pPr>
        <w:pStyle w:val="ListParagraph"/>
        <w:autoSpaceDE w:val="0"/>
        <w:autoSpaceDN w:val="0"/>
        <w:adjustRightInd w:val="0"/>
        <w:snapToGrid w:val="0"/>
        <w:spacing w:before="0"/>
        <w:contextualSpacing w:val="0"/>
        <w:rPr>
          <w:lang w:eastAsia="zh-CN"/>
        </w:rPr>
      </w:pPr>
    </w:p>
    <w:p w:rsidR="00334624" w:rsidRPr="00854644" w:rsidRDefault="00334624" w:rsidP="00334624">
      <w:pPr>
        <w:rPr>
          <w:lang w:eastAsia="x-none"/>
        </w:rPr>
      </w:pPr>
      <w:r w:rsidRPr="00854644">
        <w:rPr>
          <w:highlight w:val="green"/>
          <w:lang w:eastAsia="x-none"/>
        </w:rPr>
        <w:t>Agreements</w:t>
      </w:r>
      <w:r w:rsidRPr="00854644">
        <w:rPr>
          <w:lang w:eastAsia="x-none"/>
        </w:rPr>
        <w:t>:</w:t>
      </w:r>
    </w:p>
    <w:p w:rsidR="00334624" w:rsidRPr="00854644" w:rsidRDefault="00334624" w:rsidP="00334624">
      <w:pPr>
        <w:rPr>
          <w:lang w:eastAsia="zh-CN"/>
        </w:rPr>
      </w:pPr>
      <w:r w:rsidRPr="00854644">
        <w:rPr>
          <w:lang w:eastAsia="zh-CN"/>
        </w:rPr>
        <w:t>For IAB node discovery and measurements, an IAB node DU can be configured with zero, one or multiple STCs.</w:t>
      </w:r>
    </w:p>
    <w:p w:rsidR="00334624" w:rsidRPr="00854644" w:rsidRDefault="00334624" w:rsidP="00334624">
      <w:pPr>
        <w:pStyle w:val="ListParagraph"/>
        <w:numPr>
          <w:ilvl w:val="0"/>
          <w:numId w:val="24"/>
        </w:numPr>
        <w:autoSpaceDE w:val="0"/>
        <w:autoSpaceDN w:val="0"/>
        <w:adjustRightInd w:val="0"/>
        <w:snapToGrid w:val="0"/>
        <w:spacing w:before="0"/>
        <w:contextualSpacing w:val="0"/>
        <w:rPr>
          <w:lang w:eastAsia="zh-CN"/>
        </w:rPr>
      </w:pPr>
      <w:r w:rsidRPr="00854644">
        <w:rPr>
          <w:lang w:eastAsia="zh-CN"/>
        </w:rPr>
        <w:t>FFS the maximum number of STCs</w:t>
      </w:r>
    </w:p>
    <w:p w:rsidR="00334624" w:rsidRPr="00854644" w:rsidRDefault="00334624" w:rsidP="00334624">
      <w:pPr>
        <w:pStyle w:val="ListParagraph"/>
        <w:numPr>
          <w:ilvl w:val="0"/>
          <w:numId w:val="24"/>
        </w:numPr>
        <w:autoSpaceDE w:val="0"/>
        <w:autoSpaceDN w:val="0"/>
        <w:adjustRightInd w:val="0"/>
        <w:snapToGrid w:val="0"/>
        <w:spacing w:before="0"/>
        <w:contextualSpacing w:val="0"/>
        <w:rPr>
          <w:lang w:eastAsia="zh-CN"/>
        </w:rPr>
      </w:pPr>
      <w:r w:rsidRPr="00854644">
        <w:rPr>
          <w:lang w:eastAsia="zh-CN"/>
        </w:rPr>
        <w:t>FFS the dependency of multiple STCs</w:t>
      </w:r>
    </w:p>
    <w:p w:rsidR="003F1857" w:rsidRPr="0030495C" w:rsidRDefault="003F1857" w:rsidP="003F1857">
      <w:pPr>
        <w:keepLines/>
        <w:overflowPunct w:val="0"/>
        <w:autoSpaceDE w:val="0"/>
        <w:autoSpaceDN w:val="0"/>
        <w:adjustRightInd w:val="0"/>
        <w:spacing w:before="0" w:after="180"/>
        <w:ind w:left="1855" w:hanging="851"/>
        <w:jc w:val="left"/>
        <w:textAlignment w:val="baseline"/>
        <w:rPr>
          <w:rFonts w:ascii="Times New Roman" w:hAnsi="Times New Roman"/>
          <w:lang w:eastAsia="x-none"/>
        </w:rPr>
      </w:pPr>
    </w:p>
    <w:p w:rsidR="00E60C09" w:rsidRDefault="007F2957" w:rsidP="00E60C09">
      <w:pPr>
        <w:pStyle w:val="maintext"/>
        <w:ind w:firstLineChars="0" w:firstLine="0"/>
        <w:rPr>
          <w:rFonts w:ascii="Calibri" w:hAnsi="Calibri"/>
        </w:rPr>
      </w:pPr>
      <w:r w:rsidRPr="00BA6FDB">
        <w:rPr>
          <w:rFonts w:ascii="Calibri" w:hAnsi="Calibri"/>
        </w:rPr>
        <w:lastRenderedPageBreak/>
        <w:t xml:space="preserve">Figure </w:t>
      </w:r>
      <w:r>
        <w:rPr>
          <w:rFonts w:ascii="Calibri" w:hAnsi="Calibri"/>
        </w:rPr>
        <w:t>1</w:t>
      </w:r>
      <w:r w:rsidRPr="00BA6FDB">
        <w:rPr>
          <w:rFonts w:ascii="Calibri" w:hAnsi="Calibri"/>
        </w:rPr>
        <w:t xml:space="preserve"> </w:t>
      </w:r>
      <w:r>
        <w:rPr>
          <w:rFonts w:ascii="Calibri" w:hAnsi="Calibri"/>
        </w:rPr>
        <w:t>provides</w:t>
      </w:r>
      <w:r w:rsidRPr="00BA6FDB">
        <w:rPr>
          <w:rFonts w:ascii="Calibri" w:hAnsi="Calibri"/>
        </w:rPr>
        <w:t xml:space="preserve"> an example of</w:t>
      </w:r>
      <w:r w:rsidR="00E21DB6">
        <w:rPr>
          <w:rFonts w:ascii="Calibri" w:hAnsi="Calibri"/>
        </w:rPr>
        <w:t xml:space="preserve"> two STCs</w:t>
      </w:r>
      <w:r w:rsidRPr="00BA6FDB">
        <w:rPr>
          <w:rFonts w:ascii="Calibri" w:hAnsi="Calibri"/>
        </w:rPr>
        <w:t xml:space="preserve"> multiplexing of </w:t>
      </w:r>
      <w:r w:rsidR="00E6484F">
        <w:rPr>
          <w:rFonts w:ascii="Calibri" w:hAnsi="Calibri"/>
        </w:rPr>
        <w:t>SSB</w:t>
      </w:r>
      <w:r w:rsidRPr="00BA6FDB">
        <w:rPr>
          <w:rFonts w:ascii="Calibri" w:hAnsi="Calibri"/>
        </w:rPr>
        <w:t xml:space="preserve"> transmissions between access and two backhaul link hop orders.</w:t>
      </w:r>
      <w:r>
        <w:rPr>
          <w:rFonts w:ascii="Calibri" w:hAnsi="Calibri"/>
        </w:rPr>
        <w:t xml:space="preserve"> </w:t>
      </w:r>
    </w:p>
    <w:p w:rsidR="007F2957" w:rsidRPr="00AA5160" w:rsidRDefault="007F2957" w:rsidP="007F2957">
      <w:pPr>
        <w:pStyle w:val="maintext"/>
        <w:ind w:firstLineChars="0" w:firstLine="0"/>
        <w:rPr>
          <w:rFonts w:ascii="Calibri" w:hAnsi="Calibri"/>
        </w:rPr>
      </w:pPr>
      <w:r>
        <w:rPr>
          <w:rFonts w:ascii="Calibri" w:hAnsi="Calibri"/>
          <w:noProof/>
          <w:lang w:val="en-US" w:eastAsia="en-US"/>
        </w:rPr>
        <w:drawing>
          <wp:inline distT="0" distB="0" distL="0" distR="0" wp14:anchorId="763543AA" wp14:editId="7471BDA0">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Pr>
          <w:rFonts w:ascii="Calibri" w:hAnsi="Calibri"/>
        </w:rPr>
        <w:t xml:space="preserve">                             </w:t>
      </w:r>
    </w:p>
    <w:p w:rsidR="007F2957" w:rsidRPr="00AA5160" w:rsidRDefault="007F2957" w:rsidP="007F2957">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 xml:space="preserve">Figure </w:t>
      </w:r>
      <w:r>
        <w:rPr>
          <w:rFonts w:ascii="Calibri" w:hAnsi="Calibri"/>
          <w:b/>
          <w:bCs/>
          <w:sz w:val="22"/>
          <w:lang w:val="en-GB" w:eastAsia="zh-CN"/>
        </w:rPr>
        <w:t>1</w:t>
      </w:r>
      <w:r w:rsidRPr="006C49B6">
        <w:rPr>
          <w:rFonts w:ascii="Calibri" w:hAnsi="Calibri"/>
          <w:b/>
          <w:bCs/>
          <w:sz w:val="22"/>
          <w:lang w:val="en-GB" w:eastAsia="zh-CN"/>
        </w:rPr>
        <w:t>: TDM multiplexing of initial access signals between access and backhaul links (same periodicity)</w:t>
      </w:r>
    </w:p>
    <w:p w:rsidR="00E60C09" w:rsidRDefault="00E60C09" w:rsidP="00E60C09">
      <w:pPr>
        <w:pStyle w:val="maintext"/>
        <w:ind w:firstLineChars="0" w:firstLine="0"/>
        <w:rPr>
          <w:rFonts w:ascii="Calibri" w:hAnsi="Calibri"/>
        </w:rPr>
      </w:pPr>
      <w:r>
        <w:rPr>
          <w:rFonts w:ascii="Calibri" w:hAnsi="Calibri"/>
        </w:rPr>
        <w:t>The access synchronization signal transmissions can overlap in time across hop orders since they are intended for UEs and therefore not subject to the half-duplex constrain requirement. However, orthogonal STCs are required for the transmission of the synchronization signal transmissions intended for backhaul link discovery and maintenance with a possibly larger periodicity of transmission and separately configured from the parameters/resources used by access UEs.</w:t>
      </w:r>
    </w:p>
    <w:p w:rsidR="00E60C09" w:rsidRDefault="00E60C09" w:rsidP="00E60C09">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 xml:space="preserve">Up to 2 STCs can be configured for an IAB node DU. </w:t>
      </w:r>
    </w:p>
    <w:p w:rsidR="00E60C09" w:rsidRDefault="00E60C09" w:rsidP="00E60C09">
      <w:pPr>
        <w:pStyle w:val="maintext"/>
        <w:ind w:firstLineChars="0" w:firstLine="0"/>
        <w:rPr>
          <w:rFonts w:ascii="Calibri" w:hAnsi="Calibri"/>
        </w:rPr>
      </w:pPr>
    </w:p>
    <w:p w:rsidR="00707ECE" w:rsidRDefault="00E60C09" w:rsidP="00707ECE">
      <w:pPr>
        <w:pStyle w:val="maintext"/>
        <w:ind w:firstLineChars="0" w:firstLine="0"/>
        <w:rPr>
          <w:rFonts w:ascii="Calibri" w:hAnsi="Calibri"/>
        </w:rPr>
      </w:pPr>
      <w:r>
        <w:rPr>
          <w:rFonts w:ascii="Calibri" w:hAnsi="Calibri"/>
        </w:rPr>
        <w:t>One straightforward way to realize the patterns is to introduce time domain offsets between the SSB transmission occasions based on hop order, decoupling the time domain SSB transmission and measurement occasions for a given IAB node.</w:t>
      </w:r>
      <w:r w:rsidR="00707ECE" w:rsidRPr="00707ECE">
        <w:rPr>
          <w:rFonts w:ascii="Calibri" w:hAnsi="Calibri"/>
        </w:rPr>
        <w:t xml:space="preserve"> </w:t>
      </w:r>
      <w:r w:rsidR="00707ECE">
        <w:rPr>
          <w:rFonts w:ascii="Calibri" w:hAnsi="Calibri"/>
        </w:rPr>
        <w:t xml:space="preserve">However, while such a staggered approach as shown in Figure 1 enables inter-hop discovery and measurement, intra-hop measurement should be supported as well. </w:t>
      </w:r>
      <w:proofErr w:type="gramStart"/>
      <w:r w:rsidR="00707ECE">
        <w:rPr>
          <w:rFonts w:ascii="Calibri" w:hAnsi="Calibri"/>
        </w:rPr>
        <w:t>In order to</w:t>
      </w:r>
      <w:proofErr w:type="gramEnd"/>
      <w:r w:rsidR="00707ECE">
        <w:rPr>
          <w:rFonts w:ascii="Calibri" w:hAnsi="Calibri"/>
        </w:rPr>
        <w:t xml:space="preserve"> achieve this, different periodicities, half-frame offsets, and bitmaps of actually transmitted SSBs can be configured for different nodes of the same hop order in order to create intra-hop measurement occasions. </w:t>
      </w:r>
    </w:p>
    <w:p w:rsidR="00E60C09" w:rsidRDefault="00E60C09" w:rsidP="00E60C09">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 xml:space="preserve">SSB transmissions configured for an IAB node DU in different STCs should be orthogonal in time. </w:t>
      </w:r>
    </w:p>
    <w:p w:rsidR="00E60C09" w:rsidRDefault="00E60C09" w:rsidP="007F2957">
      <w:pPr>
        <w:pStyle w:val="maintext"/>
        <w:ind w:firstLineChars="0" w:firstLine="0"/>
        <w:rPr>
          <w:rFonts w:ascii="Calibri" w:hAnsi="Calibri"/>
        </w:rPr>
      </w:pPr>
    </w:p>
    <w:p w:rsidR="007F2957" w:rsidRDefault="007F2957" w:rsidP="007F2957">
      <w:pPr>
        <w:pStyle w:val="maintext"/>
        <w:ind w:firstLineChars="0" w:firstLine="0"/>
        <w:rPr>
          <w:rFonts w:ascii="Calibri" w:hAnsi="Calibri"/>
        </w:rPr>
      </w:pPr>
      <w:r>
        <w:rPr>
          <w:rFonts w:ascii="Calibri" w:hAnsi="Calibri"/>
        </w:rPr>
        <w:t>In addition</w:t>
      </w:r>
      <w:r w:rsidR="00E60C09">
        <w:rPr>
          <w:rFonts w:ascii="Calibri" w:hAnsi="Calibri"/>
        </w:rPr>
        <w:t>,</w:t>
      </w:r>
      <w:r>
        <w:rPr>
          <w:rFonts w:ascii="Calibri" w:hAnsi="Calibri"/>
        </w:rPr>
        <w:t xml:space="preserve"> during RAN1</w:t>
      </w:r>
      <w:r w:rsidR="00E60C09">
        <w:rPr>
          <w:rFonts w:ascii="Calibri" w:hAnsi="Calibri"/>
        </w:rPr>
        <w:t>#96bis</w:t>
      </w:r>
      <w:r>
        <w:rPr>
          <w:rFonts w:ascii="Calibri" w:hAnsi="Calibri"/>
        </w:rPr>
        <w:t xml:space="preserve"> the following agreements were made:</w:t>
      </w:r>
    </w:p>
    <w:p w:rsidR="00E60C09" w:rsidRPr="004277F4" w:rsidRDefault="00E60C09" w:rsidP="00E60C09">
      <w:pPr>
        <w:rPr>
          <w:lang w:eastAsia="x-none"/>
        </w:rPr>
      </w:pPr>
      <w:r w:rsidRPr="004277F4">
        <w:rPr>
          <w:highlight w:val="green"/>
          <w:lang w:eastAsia="x-none"/>
        </w:rPr>
        <w:t>Agreements</w:t>
      </w:r>
      <w:r w:rsidRPr="004277F4">
        <w:rPr>
          <w:lang w:eastAsia="x-none"/>
        </w:rPr>
        <w:t>:</w:t>
      </w:r>
    </w:p>
    <w:p w:rsidR="00E60C09" w:rsidRDefault="00E60C09" w:rsidP="00E60C09">
      <w:pPr>
        <w:numPr>
          <w:ilvl w:val="0"/>
          <w:numId w:val="25"/>
        </w:numPr>
        <w:spacing w:before="0" w:after="0"/>
        <w:jc w:val="left"/>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rsidR="00E6484F" w:rsidRDefault="00E6484F" w:rsidP="00E6484F">
      <w:pPr>
        <w:pStyle w:val="maintext"/>
        <w:ind w:firstLineChars="0" w:firstLine="0"/>
        <w:rPr>
          <w:rFonts w:ascii="Calibri" w:hAnsi="Calibri"/>
        </w:rPr>
      </w:pPr>
    </w:p>
    <w:p w:rsidR="00E6484F" w:rsidRPr="004277F4" w:rsidRDefault="00E6484F" w:rsidP="00E6484F">
      <w:pPr>
        <w:pStyle w:val="maintext"/>
        <w:ind w:firstLineChars="0" w:firstLine="0"/>
        <w:rPr>
          <w:lang w:eastAsia="zh-CN"/>
        </w:rPr>
      </w:pPr>
      <w:r w:rsidRPr="00BA6FDB">
        <w:rPr>
          <w:rFonts w:ascii="Calibri" w:hAnsi="Calibri"/>
        </w:rPr>
        <w:t xml:space="preserve">Figure </w:t>
      </w:r>
      <w:r>
        <w:rPr>
          <w:rFonts w:ascii="Calibri" w:hAnsi="Calibri"/>
        </w:rPr>
        <w:t>2</w:t>
      </w:r>
      <w:r w:rsidRPr="00BA6FDB">
        <w:rPr>
          <w:rFonts w:ascii="Calibri" w:hAnsi="Calibri"/>
        </w:rPr>
        <w:t xml:space="preserve"> </w:t>
      </w:r>
      <w:r>
        <w:rPr>
          <w:rFonts w:ascii="Calibri" w:hAnsi="Calibri"/>
        </w:rPr>
        <w:t>provides</w:t>
      </w:r>
      <w:r w:rsidRPr="00BA6FDB">
        <w:rPr>
          <w:rFonts w:ascii="Calibri" w:hAnsi="Calibri"/>
        </w:rPr>
        <w:t xml:space="preserve"> an example of</w:t>
      </w:r>
      <w:r>
        <w:rPr>
          <w:rFonts w:ascii="Calibri" w:hAnsi="Calibri"/>
        </w:rPr>
        <w:t xml:space="preserve"> two STMCs</w:t>
      </w:r>
      <w:r w:rsidRPr="00BA6FDB">
        <w:rPr>
          <w:rFonts w:ascii="Calibri" w:hAnsi="Calibri"/>
        </w:rPr>
        <w:t xml:space="preserve"> </w:t>
      </w:r>
      <w:r>
        <w:rPr>
          <w:rFonts w:ascii="Calibri" w:hAnsi="Calibri"/>
        </w:rPr>
        <w:t>with the same time-domain offsets, but different periodicities.</w:t>
      </w:r>
    </w:p>
    <w:p w:rsidR="007F2957" w:rsidRDefault="00E6484F" w:rsidP="00E6484F">
      <w:pPr>
        <w:pStyle w:val="maintext"/>
        <w:ind w:firstLineChars="0" w:firstLine="0"/>
        <w:jc w:val="center"/>
        <w:rPr>
          <w:rFonts w:ascii="Calibri" w:hAnsi="Calibri"/>
        </w:rPr>
      </w:pPr>
      <w:r>
        <w:rPr>
          <w:rFonts w:ascii="Calibri" w:hAnsi="Calibri"/>
          <w:noProof/>
        </w:rPr>
        <w:drawing>
          <wp:inline distT="0" distB="0" distL="0" distR="0" wp14:anchorId="70D2CBDE">
            <wp:extent cx="5547995" cy="1572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7995" cy="1572895"/>
                    </a:xfrm>
                    <a:prstGeom prst="rect">
                      <a:avLst/>
                    </a:prstGeom>
                    <a:noFill/>
                  </pic:spPr>
                </pic:pic>
              </a:graphicData>
            </a:graphic>
          </wp:inline>
        </w:drawing>
      </w:r>
    </w:p>
    <w:p w:rsidR="00E6484F" w:rsidRPr="00AA5160" w:rsidRDefault="00E6484F" w:rsidP="00E6484F">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 xml:space="preserve">Figure </w:t>
      </w:r>
      <w:r>
        <w:rPr>
          <w:rFonts w:ascii="Calibri" w:hAnsi="Calibri"/>
          <w:b/>
          <w:bCs/>
          <w:sz w:val="22"/>
          <w:lang w:val="en-GB" w:eastAsia="zh-CN"/>
        </w:rPr>
        <w:t>2</w:t>
      </w:r>
      <w:r w:rsidRPr="006C49B6">
        <w:rPr>
          <w:rFonts w:ascii="Calibri" w:hAnsi="Calibri"/>
          <w:b/>
          <w:bCs/>
          <w:sz w:val="22"/>
          <w:lang w:val="en-GB" w:eastAsia="zh-CN"/>
        </w:rPr>
        <w:t xml:space="preserve">: </w:t>
      </w:r>
      <w:r>
        <w:rPr>
          <w:rFonts w:ascii="Calibri" w:hAnsi="Calibri"/>
          <w:b/>
          <w:bCs/>
          <w:sz w:val="22"/>
          <w:lang w:val="en-GB" w:eastAsia="zh-CN"/>
        </w:rPr>
        <w:t xml:space="preserve">SMTCs with different periodicities but </w:t>
      </w:r>
      <w:r w:rsidR="0036330B">
        <w:rPr>
          <w:rFonts w:ascii="Calibri" w:hAnsi="Calibri"/>
          <w:b/>
          <w:bCs/>
          <w:sz w:val="22"/>
          <w:lang w:val="en-GB" w:eastAsia="zh-CN"/>
        </w:rPr>
        <w:t xml:space="preserve">the </w:t>
      </w:r>
      <w:r>
        <w:rPr>
          <w:rFonts w:ascii="Calibri" w:hAnsi="Calibri"/>
          <w:b/>
          <w:bCs/>
          <w:sz w:val="22"/>
          <w:lang w:val="en-GB" w:eastAsia="zh-CN"/>
        </w:rPr>
        <w:t>same time-domain offsets</w:t>
      </w:r>
    </w:p>
    <w:p w:rsidR="00E6484F" w:rsidRDefault="00E6484F" w:rsidP="00E6484F">
      <w:pPr>
        <w:pStyle w:val="maintext"/>
        <w:ind w:firstLineChars="0" w:firstLine="0"/>
        <w:jc w:val="left"/>
        <w:rPr>
          <w:rFonts w:ascii="Calibri" w:hAnsi="Calibri"/>
        </w:rPr>
      </w:pPr>
      <w:r>
        <w:rPr>
          <w:rFonts w:ascii="Calibri" w:hAnsi="Calibri"/>
        </w:rPr>
        <w:lastRenderedPageBreak/>
        <w:t xml:space="preserve">Depending on the IAB topology and desired </w:t>
      </w:r>
      <w:r w:rsidR="0036330B">
        <w:rPr>
          <w:rFonts w:ascii="Calibri" w:hAnsi="Calibri"/>
        </w:rPr>
        <w:t>trade-off</w:t>
      </w:r>
      <w:r>
        <w:rPr>
          <w:rFonts w:ascii="Calibri" w:hAnsi="Calibri"/>
        </w:rPr>
        <w:t xml:space="preserve"> between SSB transmission/measurement overhead and latency of link quality measurements, it may be beneficial that some of the up to 4 SMTCs configured for IAB node discovery and measurements overlap in </w:t>
      </w:r>
      <w:proofErr w:type="gramStart"/>
      <w:r>
        <w:rPr>
          <w:rFonts w:ascii="Calibri" w:hAnsi="Calibri"/>
        </w:rPr>
        <w:t>time, but</w:t>
      </w:r>
      <w:proofErr w:type="gramEnd"/>
      <w:r>
        <w:rPr>
          <w:rFonts w:ascii="Calibri" w:hAnsi="Calibri"/>
        </w:rPr>
        <w:t xml:space="preserve"> have different periodicities (e.g. corresponding to inter vs. intra-hop order monitoring occasions). In this case there may be a conflict at the MT of which SSBs can be measured corresponding to the different SMTCs. However</w:t>
      </w:r>
      <w:r w:rsidR="0036330B">
        <w:rPr>
          <w:rFonts w:ascii="Calibri" w:hAnsi="Calibri"/>
        </w:rPr>
        <w:t>,</w:t>
      </w:r>
      <w:r>
        <w:rPr>
          <w:rFonts w:ascii="Calibri" w:hAnsi="Calibri"/>
        </w:rPr>
        <w:t xml:space="preserve"> in this case priority should be given to the SSBs of the SMTC with the longer periodicity since those measurement occasions occur less frequently and the SSBs of the SMTC with a shorter periodicity will have measurement occasions without such conflicts.</w:t>
      </w:r>
    </w:p>
    <w:p w:rsidR="007F2957" w:rsidRDefault="007F2957" w:rsidP="007F2957">
      <w:pPr>
        <w:pStyle w:val="maintext"/>
        <w:ind w:firstLineChars="0" w:firstLine="0"/>
        <w:rPr>
          <w:rFonts w:ascii="Calibri" w:hAnsi="Calibri"/>
          <w:b/>
        </w:rPr>
      </w:pPr>
      <w:r>
        <w:rPr>
          <w:rFonts w:ascii="Calibri" w:hAnsi="Calibri"/>
          <w:b/>
        </w:rPr>
        <w:t xml:space="preserve">Proposal 3: </w:t>
      </w:r>
      <w:r w:rsidR="00E6484F">
        <w:rPr>
          <w:rFonts w:ascii="Calibri" w:hAnsi="Calibri"/>
          <w:b/>
        </w:rPr>
        <w:t>In case of SMTCs with overlapping time domain measurement occasions but different periodicities, priority for IAB discovery and measurement at the MT should be given to SSBs corresponding to the SMTC with the longer periodicity</w:t>
      </w:r>
      <w:r>
        <w:rPr>
          <w:rFonts w:ascii="Calibri" w:hAnsi="Calibri"/>
          <w:b/>
        </w:rPr>
        <w:t>.</w:t>
      </w: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IAB</w:t>
      </w:r>
      <w:r w:rsidR="006A7727">
        <w:rPr>
          <w:rFonts w:ascii="Calibri" w:hAnsi="Calibri"/>
        </w:rPr>
        <w:t xml:space="preserve"> </w:t>
      </w:r>
      <w:r w:rsidR="007F2957">
        <w:rPr>
          <w:rFonts w:ascii="Calibri" w:hAnsi="Calibri"/>
        </w:rPr>
        <w:t>node discovery and measurement</w:t>
      </w:r>
      <w:r w:rsidR="006A7727">
        <w:rPr>
          <w:rFonts w:ascii="Calibri" w:hAnsi="Calibri"/>
        </w:rPr>
        <w:t>. The following proposal</w:t>
      </w:r>
      <w:r w:rsidR="007F2957">
        <w:rPr>
          <w:rFonts w:ascii="Calibri" w:hAnsi="Calibri"/>
        </w:rPr>
        <w:t>s</w:t>
      </w:r>
      <w:r w:rsidR="00E604D6">
        <w:rPr>
          <w:rFonts w:ascii="Calibri" w:hAnsi="Calibri"/>
        </w:rPr>
        <w:t xml:space="preserve"> w</w:t>
      </w:r>
      <w:r w:rsidR="007F2957">
        <w:rPr>
          <w:rFonts w:ascii="Calibri" w:hAnsi="Calibri"/>
        </w:rPr>
        <w:t>ere</w:t>
      </w:r>
      <w:r w:rsidR="00E604D6">
        <w:rPr>
          <w:rFonts w:ascii="Calibri" w:hAnsi="Calibri"/>
        </w:rPr>
        <w:t xml:space="preserve"> made</w:t>
      </w:r>
      <w:r>
        <w:rPr>
          <w:rFonts w:ascii="Calibri" w:hAnsi="Calibri"/>
        </w:rPr>
        <w:t>:</w:t>
      </w:r>
    </w:p>
    <w:p w:rsidR="006A7727" w:rsidRDefault="006A7727" w:rsidP="00172743">
      <w:pPr>
        <w:spacing w:before="0" w:after="0"/>
        <w:rPr>
          <w:rFonts w:ascii="Calibri" w:hAnsi="Calibri"/>
        </w:rPr>
      </w:pPr>
    </w:p>
    <w:p w:rsidR="00DF7EDD" w:rsidRDefault="00DF7EDD" w:rsidP="00DF7EDD">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 xml:space="preserve">Up to 2 STCs can be configured for an IAB node DU. </w:t>
      </w:r>
    </w:p>
    <w:p w:rsidR="00DF7EDD" w:rsidRDefault="00DF7EDD" w:rsidP="00DF7EDD">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 xml:space="preserve">SSB transmissions configured for an IAB node DU in different STCs should be orthogonal in time. </w:t>
      </w:r>
    </w:p>
    <w:p w:rsidR="00E6484F" w:rsidRDefault="00E6484F" w:rsidP="00E6484F">
      <w:pPr>
        <w:pStyle w:val="maintext"/>
        <w:ind w:firstLineChars="0" w:firstLine="0"/>
        <w:rPr>
          <w:rFonts w:ascii="Calibri" w:hAnsi="Calibri"/>
          <w:b/>
        </w:rPr>
      </w:pPr>
      <w:r>
        <w:rPr>
          <w:rFonts w:ascii="Calibri" w:hAnsi="Calibri"/>
          <w:b/>
        </w:rPr>
        <w:t>Proposal 3: In case of SMTCs with overlapping time domain measurement occasions but different periodicities, priority for IAB discovery and measurement at the MT should be given to SSBs corresponding to the SMTC with the longer periodicity.</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126A75" w:rsidRDefault="001C139C" w:rsidP="001C139C">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sidR="00A54900">
        <w:rPr>
          <w:rFonts w:cs="Times New Roman"/>
          <w:lang w:eastAsia="ko-KR"/>
        </w:rPr>
        <w:t>,</w:t>
      </w:r>
      <w:r w:rsidR="00126A75">
        <w:rPr>
          <w:rFonts w:cs="Times New Roman"/>
          <w:lang w:eastAsia="ko-KR"/>
        </w:rPr>
        <w:t xml:space="preserve"> Qualcomm</w:t>
      </w:r>
    </w:p>
    <w:p w:rsidR="001C139C" w:rsidRPr="00A54900" w:rsidRDefault="001C139C" w:rsidP="001C139C">
      <w:pPr>
        <w:pStyle w:val="2222"/>
        <w:spacing w:after="120" w:line="288" w:lineRule="auto"/>
        <w:ind w:firstLineChars="0" w:firstLine="0"/>
        <w:jc w:val="left"/>
        <w:rPr>
          <w:rFonts w:cs="Times New Roman"/>
          <w:lang w:eastAsia="ko-KR"/>
        </w:rPr>
      </w:pP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3CD" w:rsidRDefault="00F973CD" w:rsidP="00424124">
      <w:pPr>
        <w:spacing w:before="0" w:after="0"/>
      </w:pPr>
      <w:r>
        <w:separator/>
      </w:r>
    </w:p>
  </w:endnote>
  <w:endnote w:type="continuationSeparator" w:id="0">
    <w:p w:rsidR="00F973CD" w:rsidRDefault="00F973C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3CD" w:rsidRDefault="00F973CD" w:rsidP="00424124">
      <w:pPr>
        <w:spacing w:before="0" w:after="0"/>
      </w:pPr>
      <w:r>
        <w:separator/>
      </w:r>
    </w:p>
  </w:footnote>
  <w:footnote w:type="continuationSeparator" w:id="0">
    <w:p w:rsidR="00F973CD" w:rsidRDefault="00F973C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5"/>
  </w:num>
  <w:num w:numId="8">
    <w:abstractNumId w:val="16"/>
  </w:num>
  <w:num w:numId="9">
    <w:abstractNumId w:val="2"/>
  </w:num>
  <w:num w:numId="10">
    <w:abstractNumId w:val="3"/>
  </w:num>
  <w:num w:numId="11">
    <w:abstractNumId w:val="19"/>
  </w:num>
  <w:num w:numId="12">
    <w:abstractNumId w:val="9"/>
  </w:num>
  <w:num w:numId="13">
    <w:abstractNumId w:val="10"/>
  </w:num>
  <w:num w:numId="14">
    <w:abstractNumId w:val="25"/>
  </w:num>
  <w:num w:numId="15">
    <w:abstractNumId w:val="1"/>
  </w:num>
  <w:num w:numId="16">
    <w:abstractNumId w:val="22"/>
  </w:num>
  <w:num w:numId="17">
    <w:abstractNumId w:val="17"/>
  </w:num>
  <w:num w:numId="18">
    <w:abstractNumId w:val="13"/>
  </w:num>
  <w:num w:numId="19">
    <w:abstractNumId w:val="24"/>
  </w:num>
  <w:num w:numId="20">
    <w:abstractNumId w:val="12"/>
  </w:num>
  <w:num w:numId="21">
    <w:abstractNumId w:val="11"/>
  </w:num>
  <w:num w:numId="22">
    <w:abstractNumId w:val="15"/>
  </w:num>
  <w:num w:numId="23">
    <w:abstractNumId w:val="7"/>
  </w:num>
  <w:num w:numId="24">
    <w:abstractNumId w:val="21"/>
  </w:num>
  <w:num w:numId="25">
    <w:abstractNumId w:val="23"/>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1EE9"/>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2CA0"/>
    <w:rsid w:val="000D38DC"/>
    <w:rsid w:val="000E29D8"/>
    <w:rsid w:val="000F259D"/>
    <w:rsid w:val="0010303E"/>
    <w:rsid w:val="0011327D"/>
    <w:rsid w:val="00116DA6"/>
    <w:rsid w:val="00126A75"/>
    <w:rsid w:val="001279BC"/>
    <w:rsid w:val="00137E15"/>
    <w:rsid w:val="001417A8"/>
    <w:rsid w:val="00153793"/>
    <w:rsid w:val="00172743"/>
    <w:rsid w:val="00175301"/>
    <w:rsid w:val="00196176"/>
    <w:rsid w:val="001A5A68"/>
    <w:rsid w:val="001A6212"/>
    <w:rsid w:val="001A75E0"/>
    <w:rsid w:val="001B731B"/>
    <w:rsid w:val="001C139C"/>
    <w:rsid w:val="001C4ACE"/>
    <w:rsid w:val="001C699C"/>
    <w:rsid w:val="001E02F3"/>
    <w:rsid w:val="001E0CE1"/>
    <w:rsid w:val="001E58CC"/>
    <w:rsid w:val="001E7CB5"/>
    <w:rsid w:val="001F02DD"/>
    <w:rsid w:val="001F2A01"/>
    <w:rsid w:val="001F59ED"/>
    <w:rsid w:val="002013B3"/>
    <w:rsid w:val="00201870"/>
    <w:rsid w:val="00211D37"/>
    <w:rsid w:val="00212204"/>
    <w:rsid w:val="0021262A"/>
    <w:rsid w:val="00216763"/>
    <w:rsid w:val="00221B52"/>
    <w:rsid w:val="00222269"/>
    <w:rsid w:val="00222811"/>
    <w:rsid w:val="00225464"/>
    <w:rsid w:val="00233D70"/>
    <w:rsid w:val="00235373"/>
    <w:rsid w:val="00242080"/>
    <w:rsid w:val="00246D61"/>
    <w:rsid w:val="0024786A"/>
    <w:rsid w:val="0025058B"/>
    <w:rsid w:val="0025387F"/>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4DB1"/>
    <w:rsid w:val="002A66E2"/>
    <w:rsid w:val="002B6E52"/>
    <w:rsid w:val="002C0488"/>
    <w:rsid w:val="002C4097"/>
    <w:rsid w:val="002C594E"/>
    <w:rsid w:val="002D3D42"/>
    <w:rsid w:val="002D479B"/>
    <w:rsid w:val="002D6EC9"/>
    <w:rsid w:val="002D787B"/>
    <w:rsid w:val="002E188B"/>
    <w:rsid w:val="002E65B5"/>
    <w:rsid w:val="002F2F26"/>
    <w:rsid w:val="002F4C25"/>
    <w:rsid w:val="0030495C"/>
    <w:rsid w:val="003141F5"/>
    <w:rsid w:val="00315DC4"/>
    <w:rsid w:val="00317020"/>
    <w:rsid w:val="00320B4D"/>
    <w:rsid w:val="00326FF6"/>
    <w:rsid w:val="00327A22"/>
    <w:rsid w:val="00332BB8"/>
    <w:rsid w:val="00334624"/>
    <w:rsid w:val="0033513A"/>
    <w:rsid w:val="00342130"/>
    <w:rsid w:val="00346605"/>
    <w:rsid w:val="00347824"/>
    <w:rsid w:val="0035318F"/>
    <w:rsid w:val="00354C01"/>
    <w:rsid w:val="0036306A"/>
    <w:rsid w:val="0036330B"/>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1857"/>
    <w:rsid w:val="003F33B4"/>
    <w:rsid w:val="003F3E3C"/>
    <w:rsid w:val="004011AC"/>
    <w:rsid w:val="00405F6D"/>
    <w:rsid w:val="004231A1"/>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8562D"/>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CD0"/>
    <w:rsid w:val="004E6D3B"/>
    <w:rsid w:val="004F31E9"/>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3D85"/>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4807"/>
    <w:rsid w:val="0069705B"/>
    <w:rsid w:val="006A0EDC"/>
    <w:rsid w:val="006A18DB"/>
    <w:rsid w:val="006A2D2E"/>
    <w:rsid w:val="006A7727"/>
    <w:rsid w:val="006B0FE9"/>
    <w:rsid w:val="006C0BAC"/>
    <w:rsid w:val="006C452E"/>
    <w:rsid w:val="006C7692"/>
    <w:rsid w:val="006D6ABC"/>
    <w:rsid w:val="006E790B"/>
    <w:rsid w:val="006F055C"/>
    <w:rsid w:val="006F52D9"/>
    <w:rsid w:val="00702C40"/>
    <w:rsid w:val="00707D20"/>
    <w:rsid w:val="00707ECE"/>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0CF6"/>
    <w:rsid w:val="007C4B85"/>
    <w:rsid w:val="007D0BB2"/>
    <w:rsid w:val="007D2C48"/>
    <w:rsid w:val="007E546F"/>
    <w:rsid w:val="007F0AF3"/>
    <w:rsid w:val="007F1928"/>
    <w:rsid w:val="007F2957"/>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67C44"/>
    <w:rsid w:val="00871024"/>
    <w:rsid w:val="0087144B"/>
    <w:rsid w:val="00871CA8"/>
    <w:rsid w:val="00872D80"/>
    <w:rsid w:val="00872E80"/>
    <w:rsid w:val="008747AA"/>
    <w:rsid w:val="00885004"/>
    <w:rsid w:val="00886940"/>
    <w:rsid w:val="00886B7B"/>
    <w:rsid w:val="00887AB4"/>
    <w:rsid w:val="00894290"/>
    <w:rsid w:val="008A25A1"/>
    <w:rsid w:val="008B39B6"/>
    <w:rsid w:val="008B5040"/>
    <w:rsid w:val="008B5A99"/>
    <w:rsid w:val="008C1AFD"/>
    <w:rsid w:val="008C4B67"/>
    <w:rsid w:val="008D1AEF"/>
    <w:rsid w:val="008E48C2"/>
    <w:rsid w:val="008F2160"/>
    <w:rsid w:val="00901B67"/>
    <w:rsid w:val="00905E86"/>
    <w:rsid w:val="009124E4"/>
    <w:rsid w:val="00917D0F"/>
    <w:rsid w:val="00924EA9"/>
    <w:rsid w:val="00925FA2"/>
    <w:rsid w:val="00926A9C"/>
    <w:rsid w:val="00927803"/>
    <w:rsid w:val="00935A12"/>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377C"/>
    <w:rsid w:val="00A359C7"/>
    <w:rsid w:val="00A41CF3"/>
    <w:rsid w:val="00A456B1"/>
    <w:rsid w:val="00A4674D"/>
    <w:rsid w:val="00A547CE"/>
    <w:rsid w:val="00A54900"/>
    <w:rsid w:val="00A55FF3"/>
    <w:rsid w:val="00A603CE"/>
    <w:rsid w:val="00A64CF7"/>
    <w:rsid w:val="00A72B33"/>
    <w:rsid w:val="00A821EA"/>
    <w:rsid w:val="00A8721E"/>
    <w:rsid w:val="00A92495"/>
    <w:rsid w:val="00AA5160"/>
    <w:rsid w:val="00AA5899"/>
    <w:rsid w:val="00AB0452"/>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6884"/>
    <w:rsid w:val="00B3707E"/>
    <w:rsid w:val="00B55FA2"/>
    <w:rsid w:val="00B61A13"/>
    <w:rsid w:val="00B6232D"/>
    <w:rsid w:val="00B648CA"/>
    <w:rsid w:val="00B74894"/>
    <w:rsid w:val="00B749FB"/>
    <w:rsid w:val="00B75FF7"/>
    <w:rsid w:val="00B82B83"/>
    <w:rsid w:val="00B909F7"/>
    <w:rsid w:val="00B96A24"/>
    <w:rsid w:val="00BA305A"/>
    <w:rsid w:val="00BA677D"/>
    <w:rsid w:val="00BA6FDB"/>
    <w:rsid w:val="00BB02ED"/>
    <w:rsid w:val="00BB3CBF"/>
    <w:rsid w:val="00BB4E1F"/>
    <w:rsid w:val="00BB5132"/>
    <w:rsid w:val="00BC31F9"/>
    <w:rsid w:val="00BC6F83"/>
    <w:rsid w:val="00BC704C"/>
    <w:rsid w:val="00BD15E1"/>
    <w:rsid w:val="00BD34B4"/>
    <w:rsid w:val="00BE26B4"/>
    <w:rsid w:val="00BF2C5D"/>
    <w:rsid w:val="00BF31E3"/>
    <w:rsid w:val="00BF5F1C"/>
    <w:rsid w:val="00C07731"/>
    <w:rsid w:val="00C16B9F"/>
    <w:rsid w:val="00C17E83"/>
    <w:rsid w:val="00C218A9"/>
    <w:rsid w:val="00C261F4"/>
    <w:rsid w:val="00C40BE6"/>
    <w:rsid w:val="00C47EE0"/>
    <w:rsid w:val="00C534CA"/>
    <w:rsid w:val="00C63006"/>
    <w:rsid w:val="00C67568"/>
    <w:rsid w:val="00C7007B"/>
    <w:rsid w:val="00C71871"/>
    <w:rsid w:val="00C724F1"/>
    <w:rsid w:val="00C735F1"/>
    <w:rsid w:val="00C73B8D"/>
    <w:rsid w:val="00C913B6"/>
    <w:rsid w:val="00C91C5E"/>
    <w:rsid w:val="00C92E44"/>
    <w:rsid w:val="00CA6EA3"/>
    <w:rsid w:val="00CB15A7"/>
    <w:rsid w:val="00CB6D97"/>
    <w:rsid w:val="00CC09CE"/>
    <w:rsid w:val="00CD7B54"/>
    <w:rsid w:val="00CE0C9D"/>
    <w:rsid w:val="00CE1FF5"/>
    <w:rsid w:val="00D10682"/>
    <w:rsid w:val="00D129D3"/>
    <w:rsid w:val="00D134C5"/>
    <w:rsid w:val="00D23CDC"/>
    <w:rsid w:val="00D26593"/>
    <w:rsid w:val="00D268EB"/>
    <w:rsid w:val="00D26CFF"/>
    <w:rsid w:val="00D274C6"/>
    <w:rsid w:val="00D31306"/>
    <w:rsid w:val="00D446F1"/>
    <w:rsid w:val="00D456D8"/>
    <w:rsid w:val="00D45A0E"/>
    <w:rsid w:val="00D4645D"/>
    <w:rsid w:val="00D4758C"/>
    <w:rsid w:val="00D50169"/>
    <w:rsid w:val="00D5391C"/>
    <w:rsid w:val="00D55FAB"/>
    <w:rsid w:val="00D56786"/>
    <w:rsid w:val="00D61EAB"/>
    <w:rsid w:val="00D701D3"/>
    <w:rsid w:val="00D724F9"/>
    <w:rsid w:val="00D7445F"/>
    <w:rsid w:val="00D86DBE"/>
    <w:rsid w:val="00D91E8D"/>
    <w:rsid w:val="00D92B1D"/>
    <w:rsid w:val="00D95E32"/>
    <w:rsid w:val="00DB0323"/>
    <w:rsid w:val="00DB1FA7"/>
    <w:rsid w:val="00DB31EE"/>
    <w:rsid w:val="00DB3BFC"/>
    <w:rsid w:val="00DC0E31"/>
    <w:rsid w:val="00DC70D0"/>
    <w:rsid w:val="00DC7DD6"/>
    <w:rsid w:val="00DD3971"/>
    <w:rsid w:val="00DE2A3F"/>
    <w:rsid w:val="00DF5F45"/>
    <w:rsid w:val="00DF7EDD"/>
    <w:rsid w:val="00E03E65"/>
    <w:rsid w:val="00E13146"/>
    <w:rsid w:val="00E174FC"/>
    <w:rsid w:val="00E20070"/>
    <w:rsid w:val="00E20994"/>
    <w:rsid w:val="00E21DB6"/>
    <w:rsid w:val="00E22124"/>
    <w:rsid w:val="00E261AD"/>
    <w:rsid w:val="00E324C0"/>
    <w:rsid w:val="00E40344"/>
    <w:rsid w:val="00E46D61"/>
    <w:rsid w:val="00E55C12"/>
    <w:rsid w:val="00E56C7E"/>
    <w:rsid w:val="00E576BD"/>
    <w:rsid w:val="00E57BE9"/>
    <w:rsid w:val="00E604D6"/>
    <w:rsid w:val="00E60C09"/>
    <w:rsid w:val="00E6484F"/>
    <w:rsid w:val="00E67086"/>
    <w:rsid w:val="00E857E4"/>
    <w:rsid w:val="00E85B05"/>
    <w:rsid w:val="00E9139D"/>
    <w:rsid w:val="00E92487"/>
    <w:rsid w:val="00E95082"/>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973CD"/>
    <w:rsid w:val="00FA0472"/>
    <w:rsid w:val="00FA28D1"/>
    <w:rsid w:val="00FA6558"/>
    <w:rsid w:val="00FB2665"/>
    <w:rsid w:val="00FC3DE0"/>
    <w:rsid w:val="00FC5525"/>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BB41F"/>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179589029">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3A640-29BE-4D51-AC73-26B4D3DE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5340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2</cp:revision>
  <cp:lastPrinted>2018-09-28T20:14:00Z</cp:lastPrinted>
  <dcterms:created xsi:type="dcterms:W3CDTF">2019-05-03T02:43:00Z</dcterms:created>
  <dcterms:modified xsi:type="dcterms:W3CDTF">2019-05-03T02:43:00Z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